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516</w:t>
      </w:r>
    </w:p>
    <w:p>
      <w:r>
        <w:t>Bundesgericht (BGE), 2013-01-01, FR</w:t>
      </w:r>
    </w:p>
    <w:p>
      <w:r>
        <w:rPr>
          <w:b/>
        </w:rPr>
        <w:t xml:space="preserve">Quelle: </w:t>
      </w:r>
      <w:r>
        <w:t>https://mcp.opencaselaw.ch/entscheid/bge_139 III 516</w:t>
      </w:r>
    </w:p>
    <w:p>
      <w:r>
        <w:t>FR: ATF 139 III 516</w:t>
      </w:r>
    </w:p>
    <w:p>
      <w:r>
        <w:t>IT: DTF 139 III 516</w:t>
      </w:r>
    </w:p>
    <w:p>
      <w:pPr>
        <w:pStyle w:val="Heading2"/>
      </w:pPr>
      <w:r>
        <w:t>Regeste</w:t>
      </w:r>
    </w:p>
    <w:p>
      <w:r>
        <w:t>Regeste Art. 75 Abs. 1 BGG und Art. 315a Abs. 3 Ziff. 2 ZGB; Rechtsnatur der von der Kindesschutzbehörde aufgrund dieser Bestimmung getroffenen Entscheide. Die von einer Kindesschutzbehörde aufgrund von Art. 315a Abs. 3 Ziff. 2 ZGB getroffenen Entscheide sind vergleichbar mit superprovisorischen Massnahmen, gegen die jegliche Beschwerde an das Bundesgericht mangels Erschöpfung des kantonalen Instanzenzugs ausgeschlossen ist (Art. 75 Abs. 1 BGG; E. 1.1-1.3).</w:t>
      </w:r>
    </w:p>
    <w:p>
      <w:pPr>
        <w:pStyle w:val="Heading2"/>
      </w:pPr>
      <w:r>
        <w:t>Erwägungen</w:t>
      </w:r>
    </w:p>
    <w:p>
      <w:r>
        <w:rPr>
          <w:b/>
        </w:rPr>
        <w:t>E. 1</w:t>
      </w:r>
    </w:p>
    <w:p>
      <w:r>
        <w:t>(...)</w:t>
      </w:r>
    </w:p>
    <w:p>
      <w:r>
        <w:rPr>
          <w:b/>
        </w:rPr>
        <w:t>E. 1.1</w:t>
      </w:r>
    </w:p>
    <w:p>
      <w:r>
        <w:t>Le recours en matière civile est recevable contre des décisions rendues par des tribunaux supérieurs ( art. 75 al. 2, 1 re phrase, LTF) de dernière instance cantonale ( art. 75 al. 1 LTF ), statuant en principe sur recours (art. 75 al. 2, 2 e phrase, LTF). Une décision est prise en dernière instance cantonale, au sens de l' art. 75 al. 1 LTF , si le recourant a auparavant épuisé tous les moyens de droit ouverts devant les juridictions cantonales. Par moyen de droit au niveau cantonal, il faut entendre toute voie de droit qui BGE 139 III 516 S. 519 donne au recourant le droit d'obtenir une décision de la part de l'autorité saisie et par laquelle le recourant peut soulever les griefs qu'il entend faire valoir pour remédier au préjudice juridique qu'il allègue ( ATF 137 III 417 consid. 1.2; dans ce sens, cf. ATF 138 III 130 consid. 2.1). La voie de la révision mise à part (arrêt 4A_733/2011 du 16 juillet 2012 consid. 1.2 et les références), la voie permettant d'obtenir la modification ou la révocation d'une décision constitue donc un moyen de droit au niveau cantonal qui doit être préalablement épuisé avant que cette décision puisse être attaquée devant le Tribunal fédéral. Ainsi en va-t-il de la décision de mesures provisionnelles rendue après audition des parties, susceptible de modifier ou de révoquer les mesures superprovisionnelles auparavant ordonnées, pour leur part, sans cette audition ( ATF 137 III 417 consid. 1.2, précisé par l'arrêt 5A_508/2012 du 28 août 2012 consid. 3 et les références, in SJ 2013 I p. 33 et Pra 2013 n° 56 p. 438).</w:t>
      </w:r>
    </w:p>
    <w:p>
      <w:r>
        <w:rPr>
          <w:b/>
        </w:rPr>
        <w:t>E. 1.2.1</w:t>
      </w:r>
    </w:p>
    <w:p>
      <w:r>
        <w:t>Lorsqu'une procédure est déjà pendante devant lui, le juge chargé de régler les relations des père et mère avec l'enfant selon les dispositions régissant le divorce ou la protection de l'union conjugale ( art. 275 al. 2 CC ) prend également les mesures nécessaires à la protection de ce dernier et charge l'autorité de protection de l'enfant de leur exécution ( art. 315a al. 1 CC ). Il peut aussi modifier, en fonction des circonstances, les mesures de protection qui ont déjà été prises ( art. 315a al. 2 CC ).</w:t>
      </w:r>
    </w:p>
    <w:p>
      <w:r>
        <w:rPr>
          <w:b/>
        </w:rPr>
        <w:t>E. 1.2.2</w:t>
      </w:r>
    </w:p>
    <w:p>
      <w:r>
        <w:t>Aux termes de l' art. 315a al. 3 ch. 2 CC , l'autorité de protection de l'enfant demeure toutefois compétente pour prendre les mesures immédiatement nécessaires à la protection de l'enfant lorsqu'il est probable que le juge ne pourra pas les prendre à temps. La compétence réservée à l'autorité de protection de l'enfant par cette disposition ne peut donner lieu qu'à des décisions à caractère provisoire, le juge des mesures protectrices de l'union conjugale ou du divorce pouvant modifier celles-ci au cours de la procédure déjà pendante devant lui (MEIER/STETTLER, Droit de la filiation, 4 e éd. 2009, n. 1203 et les notes de bas de page; PETER BREITSCHMID, in Commentaire bâlois, Zivilgesetzbuch, vol. I, 4 e éd. 2010, n° 9 ad art. 315-315b CC ). Ces décisions sont dès lors, de par leur nature, assimilables à des mesures superprovisionnelles, contre lesquelles tout recours au Tribunal fédéral est exclu faute d'épuisement des voies de recours cantonales ( ATF 139 III 86 consid. 1.1.1; ATF 137 III 417 consid. 1.2). BGE 139 III 516 S. 520</w:t>
      </w:r>
    </w:p>
    <w:p>
      <w:r>
        <w:rPr>
          <w:b/>
        </w:rPr>
        <w:t>E. 1.3</w:t>
      </w:r>
    </w:p>
    <w:p>
      <w:r>
        <w:t>Les "clauses-péril" rendues par le suppléant du Directeur du SPMi en vertu de l'art. 12 al. 7 LOJeun doivent être qualifiées de décisions d'urgence au sens de l' art. 315a al. 3 ch. 2 CC . Ces clauses-péril, qui ont été ratifiées par le Tribunal tutélaire en date du 11 décembre 2012 et dont la Chambre de surveillance a confirmé le bien-fondé, n'ont suspendu que provisoirement le droit de visite du recourant. Elles pouvaient être revues et modifiées par le juge du divorce. Tel a d'ailleurs été le cas en l'espèce, le droit de visite du recourant sur ses deux enfants cadets ayant été rétabli par décision de mesures provisionnelles du juge du divorce du 19 mars 2012; le recourant s'est même ensuite vu confier les droits parentaux sur son fils cadet par décision du 6 août 2012. Par conséquent, la décision du 6 mars 2013 de la Chambre de surveillance ne constitue pas une décision prise en dernière instance au sens de l' art. 75 al. 1 LTF , de sorte que le présent recours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